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25" w:line="221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  <w:t>XXX部门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eastAsia="en-US"/>
        </w:rPr>
        <w:t>本科教育教学审核评估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5" w:line="221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  <w:t>预评估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eastAsia="en-US"/>
        </w:rPr>
        <w:t>整改方案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  <w:t>职能部门模板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ind w:left="0" w:leftChars="0" w:firstLine="1485" w:firstLineChars="493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ind w:left="0" w:leftChars="0" w:firstLine="1485" w:firstLineChars="493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ind w:left="0" w:leftChars="0" w:firstLine="1485" w:firstLineChars="493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25" w:line="221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44"/>
          <w:szCs w:val="44"/>
          <w:lang w:val="en-US" w:eastAsia="zh-CN"/>
        </w:rPr>
        <w:t>二〇二四年七月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25" w:line="221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28"/>
          <w:szCs w:val="28"/>
          <w:lang w:val="en-US" w:eastAsia="zh-CN"/>
        </w:rPr>
        <w:t>撰写说明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5" w:line="221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4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 格式文本中的黑体字体为规定内容，撰写时予以保留；其他字体为提示参考，撰写时不需保留。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 审核评估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预评估</w:t>
      </w:r>
      <w:r>
        <w:rPr>
          <w:rFonts w:hint="eastAsia" w:ascii="仿宋_GB2312" w:hAnsi="仿宋_GB2312" w:eastAsia="仿宋_GB2312" w:cs="仿宋_GB2312"/>
          <w:sz w:val="24"/>
          <w:szCs w:val="24"/>
        </w:rPr>
        <w:t>整改方案以问题清单为主线，以整改措施为主体，有明确的预期目标。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3.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牵头单位（职能部门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审核评估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预评估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整改方案应紧扣主题，不讲虚话、套话。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XX部门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本科教育教学审核评估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预评估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 方案编制简况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(1)说明本方案编制的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组织实施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编制</w:t>
      </w:r>
      <w:r>
        <w:rPr>
          <w:rFonts w:hint="eastAsia" w:ascii="宋体" w:hAnsi="宋体" w:eastAsia="宋体" w:cs="宋体"/>
          <w:sz w:val="24"/>
          <w:szCs w:val="24"/>
        </w:rPr>
        <w:t>过程、批准方式。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 问题清单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评建办发布的</w:t>
      </w:r>
      <w:r>
        <w:rPr>
          <w:rFonts w:hint="eastAsia" w:ascii="宋体" w:hAnsi="宋体" w:eastAsia="宋体" w:cs="宋体"/>
          <w:sz w:val="24"/>
          <w:szCs w:val="24"/>
        </w:rPr>
        <w:t>审核评估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预评估</w:t>
      </w:r>
      <w:r>
        <w:rPr>
          <w:rFonts w:hint="eastAsia" w:ascii="宋体" w:hAnsi="宋体" w:eastAsia="宋体" w:cs="宋体"/>
          <w:sz w:val="24"/>
          <w:szCs w:val="24"/>
        </w:rPr>
        <w:t>专家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反馈</w:t>
      </w:r>
      <w:r>
        <w:rPr>
          <w:rFonts w:hint="eastAsia" w:ascii="宋体" w:hAnsi="宋体" w:eastAsia="宋体" w:cs="宋体"/>
          <w:sz w:val="24"/>
          <w:szCs w:val="24"/>
        </w:rPr>
        <w:t>意见提出的问题应全部列入清单，按照审核评估指标中审核重点的顺序逐项罗列。</w:t>
      </w:r>
    </w:p>
    <w:p>
      <w:pPr>
        <w:spacing w:before="59" w:line="219" w:lineRule="auto"/>
        <w:ind w:left="319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pacing w:val="13"/>
          <w:sz w:val="21"/>
          <w:szCs w:val="21"/>
        </w:rPr>
        <w:t>问题清单表(参考格式)</w:t>
      </w:r>
    </w:p>
    <w:p>
      <w:pPr>
        <w:spacing w:line="54" w:lineRule="exact"/>
      </w:pPr>
    </w:p>
    <w:tbl>
      <w:tblPr>
        <w:tblStyle w:val="5"/>
        <w:tblW w:w="532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322"/>
        <w:gridCol w:w="1482"/>
        <w:gridCol w:w="2314"/>
        <w:gridCol w:w="2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5" w:type="pct"/>
            <w:vMerge w:val="restart"/>
            <w:tcBorders>
              <w:bottom w:val="nil"/>
            </w:tcBorders>
            <w:vAlign w:val="center"/>
          </w:tcPr>
          <w:p>
            <w:pPr>
              <w:spacing w:before="58" w:line="221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sz w:val="21"/>
                <w:szCs w:val="21"/>
              </w:rPr>
              <w:t>序号</w:t>
            </w:r>
          </w:p>
        </w:tc>
        <w:tc>
          <w:tcPr>
            <w:tcW w:w="2148" w:type="pct"/>
            <w:gridSpan w:val="2"/>
            <w:vAlign w:val="center"/>
          </w:tcPr>
          <w:p>
            <w:pPr>
              <w:spacing w:before="110" w:line="220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对应审核指标</w:t>
            </w:r>
          </w:p>
        </w:tc>
        <w:tc>
          <w:tcPr>
            <w:tcW w:w="1307" w:type="pct"/>
            <w:vMerge w:val="restart"/>
            <w:tcBorders>
              <w:bottom w:val="nil"/>
            </w:tcBorders>
            <w:vAlign w:val="center"/>
          </w:tcPr>
          <w:p>
            <w:pPr>
              <w:spacing w:before="58" w:line="219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1"/>
                <w:szCs w:val="21"/>
              </w:rPr>
              <w:t>问题简明表述</w:t>
            </w:r>
          </w:p>
        </w:tc>
        <w:tc>
          <w:tcPr>
            <w:tcW w:w="1138" w:type="pct"/>
            <w:vMerge w:val="restart"/>
            <w:tcBorders>
              <w:bottom w:val="nil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1"/>
                <w:szCs w:val="21"/>
              </w:rPr>
              <w:t>问题来源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5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</w:p>
        </w:tc>
        <w:tc>
          <w:tcPr>
            <w:tcW w:w="1311" w:type="pct"/>
            <w:vAlign w:val="center"/>
          </w:tcPr>
          <w:p>
            <w:pPr>
              <w:spacing w:before="108" w:line="220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836" w:type="pct"/>
            <w:vAlign w:val="center"/>
          </w:tcPr>
          <w:p>
            <w:pPr>
              <w:spacing w:before="108" w:line="220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07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3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1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1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3. 整改目标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分别陈述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本部门整改</w:t>
      </w:r>
      <w:r>
        <w:rPr>
          <w:rFonts w:hint="eastAsia" w:ascii="宋体" w:hAnsi="宋体" w:eastAsia="宋体" w:cs="宋体"/>
          <w:sz w:val="24"/>
          <w:szCs w:val="24"/>
        </w:rPr>
        <w:t>预期达成的目标和分阶段预期达成的目标。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整改措施、分工、进度安排和成效预期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各牵头单位（职能部门））应结合相关责任单位提交的整改措施清单，针对问题项进行原因分析、措施提炼和总结，明确整改阶段要做完成哪些任务及完成任务的具体措施，要突出具体落实举措及任务完成的时间节点，做到有的放矢、针对性强，具备可操作性，避免口号性、空泛话的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每项包含但不限于以下内容：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①简要分析问题存在的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原因</w:t>
      </w:r>
      <w:r>
        <w:rPr>
          <w:rFonts w:hint="eastAsia" w:ascii="宋体" w:hAnsi="宋体" w:eastAsia="宋体" w:cs="宋体"/>
          <w:sz w:val="24"/>
          <w:szCs w:val="24"/>
        </w:rPr>
        <w:t>(如主观认识、组织方式、落实责任、客观条件、资源配置、政策限制等);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②拟采取的整改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</w:rPr>
        <w:t>措施</w:t>
      </w:r>
      <w:r>
        <w:rPr>
          <w:rFonts w:hint="eastAsia" w:ascii="宋体" w:hAnsi="宋体" w:eastAsia="宋体" w:cs="宋体"/>
          <w:sz w:val="24"/>
          <w:szCs w:val="24"/>
        </w:rPr>
        <w:t>(如拟深入调研分析及拟采用的方法，拟建立或实施的政策、制度、标准、项目，拟投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</w:t>
      </w:r>
      <w:r>
        <w:rPr>
          <w:rFonts w:hint="eastAsia" w:ascii="宋体" w:hAnsi="宋体" w:eastAsia="宋体" w:cs="宋体"/>
          <w:sz w:val="24"/>
          <w:szCs w:val="24"/>
        </w:rPr>
        <w:t>的人力资源、资金、设备、场地等);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③该问题整改的主要责任人，当牵涉多个单位时，应明确牵头单位和牵头负责人、参与单位和责任人，明确各单位的主要分工任务；当问题分解为若干子问题时，可依子问题分解责任单位和主要责任人；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④该问题整改的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进度安排</w:t>
      </w:r>
      <w:r>
        <w:rPr>
          <w:rFonts w:hint="eastAsia" w:ascii="宋体" w:hAnsi="宋体" w:eastAsia="宋体" w:cs="宋体"/>
          <w:sz w:val="24"/>
          <w:szCs w:val="24"/>
        </w:rPr>
        <w:t>，应该有明确的时间节点要求；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⑤该问题的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整改成效预期</w:t>
      </w:r>
      <w:r>
        <w:rPr>
          <w:rFonts w:hint="eastAsia" w:ascii="宋体" w:hAnsi="宋体" w:eastAsia="宋体" w:cs="宋体"/>
          <w:sz w:val="24"/>
          <w:szCs w:val="24"/>
        </w:rPr>
        <w:t>，说明采取整改措施后问题的预期改进程度、可能取得的成效。改进程度和可能取得的成效应是可以衡量、检验的，建议提出可具体度量的指标。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908E5"/>
    <w:multiLevelType w:val="singleLevel"/>
    <w:tmpl w:val="0C6908E5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jQzNTE2NTRhMTRiODg5Y2E5OTc3ZjQ4M2Q0ZDYifQ=="/>
  </w:docVars>
  <w:rsids>
    <w:rsidRoot w:val="14EA56A6"/>
    <w:rsid w:val="025537F2"/>
    <w:rsid w:val="05651A66"/>
    <w:rsid w:val="05851A25"/>
    <w:rsid w:val="14EA56A6"/>
    <w:rsid w:val="1A0604F1"/>
    <w:rsid w:val="1B1A7868"/>
    <w:rsid w:val="273F6DE0"/>
    <w:rsid w:val="2B6A3EF4"/>
    <w:rsid w:val="2D8F379E"/>
    <w:rsid w:val="2F595716"/>
    <w:rsid w:val="310D77FB"/>
    <w:rsid w:val="36E62234"/>
    <w:rsid w:val="45543FE3"/>
    <w:rsid w:val="47617B01"/>
    <w:rsid w:val="479E6FA7"/>
    <w:rsid w:val="4D77344B"/>
    <w:rsid w:val="52354064"/>
    <w:rsid w:val="594D4389"/>
    <w:rsid w:val="69470DF5"/>
    <w:rsid w:val="6AB278EE"/>
    <w:rsid w:val="6EA3513E"/>
    <w:rsid w:val="72BE3644"/>
    <w:rsid w:val="76832D41"/>
    <w:rsid w:val="7D6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1002</Characters>
  <Lines>0</Lines>
  <Paragraphs>0</Paragraphs>
  <TotalTime>1</TotalTime>
  <ScaleCrop>false</ScaleCrop>
  <LinksUpToDate>false</LinksUpToDate>
  <CharactersWithSpaces>1009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2023-01-05T05:36:00Z</dcterms:created>
  <dc:creator>李新煜</dc:creator>
  <cp:lastModifiedBy>金林</cp:lastModifiedBy>
  <dcterms:modified xsi:type="dcterms:W3CDTF">2024-07-25T08:32:55Z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D0E452610B8848BD93EB021C28C78498_13</vt:lpwstr>
  </property>
</Properties>
</file>